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6813" w14:textId="77777777" w:rsidR="00275709" w:rsidRDefault="00265950" w:rsidP="008B1C87">
      <w:pPr>
        <w:spacing w:after="0"/>
        <w:jc w:val="center"/>
        <w:rPr>
          <w:b/>
          <w:bCs/>
          <w:sz w:val="26"/>
          <w:szCs w:val="26"/>
        </w:rPr>
      </w:pPr>
      <w:r w:rsidRPr="000F6F93">
        <w:rPr>
          <w:b/>
          <w:bCs/>
          <w:sz w:val="26"/>
          <w:szCs w:val="26"/>
        </w:rPr>
        <w:t>Modification des volumes de prélèvements d’eau aux gîtes A et B</w:t>
      </w:r>
    </w:p>
    <w:p w14:paraId="32811BCC" w14:textId="7819DE2D" w:rsidR="00265950" w:rsidRPr="000F6F93" w:rsidRDefault="00265950" w:rsidP="00275709">
      <w:pPr>
        <w:spacing w:after="0"/>
        <w:jc w:val="center"/>
        <w:rPr>
          <w:b/>
          <w:bCs/>
          <w:sz w:val="26"/>
          <w:szCs w:val="26"/>
        </w:rPr>
      </w:pPr>
      <w:proofErr w:type="gramStart"/>
      <w:r w:rsidRPr="000F6F93">
        <w:rPr>
          <w:b/>
          <w:bCs/>
          <w:sz w:val="26"/>
          <w:szCs w:val="26"/>
        </w:rPr>
        <w:t>sur</w:t>
      </w:r>
      <w:proofErr w:type="gramEnd"/>
      <w:r w:rsidRPr="000F6F93">
        <w:rPr>
          <w:b/>
          <w:bCs/>
          <w:sz w:val="26"/>
          <w:szCs w:val="26"/>
        </w:rPr>
        <w:t xml:space="preserve"> les bassins des communes de Contrexéville, Vittel et de l’Anger</w:t>
      </w:r>
    </w:p>
    <w:p w14:paraId="0877C860" w14:textId="764EC910" w:rsidR="00265950" w:rsidRPr="00095D9E" w:rsidRDefault="00265950">
      <w:pPr>
        <w:rPr>
          <w:sz w:val="2"/>
          <w:szCs w:val="2"/>
        </w:rPr>
      </w:pPr>
    </w:p>
    <w:p w14:paraId="051F7B78" w14:textId="77777777" w:rsidR="00275709" w:rsidRDefault="00265950" w:rsidP="00275709">
      <w:pPr>
        <w:spacing w:after="0"/>
        <w:jc w:val="center"/>
        <w:rPr>
          <w:b/>
          <w:bCs/>
          <w:sz w:val="26"/>
          <w:szCs w:val="26"/>
        </w:rPr>
      </w:pPr>
      <w:r w:rsidRPr="000F6F93">
        <w:rPr>
          <w:b/>
          <w:bCs/>
          <w:sz w:val="26"/>
          <w:szCs w:val="26"/>
        </w:rPr>
        <w:t>Argumentaire proposé par le Collectif Eau 88</w:t>
      </w:r>
    </w:p>
    <w:p w14:paraId="7DEB7570" w14:textId="4652A585" w:rsidR="00265950" w:rsidRPr="000F6F93" w:rsidRDefault="00265950" w:rsidP="00275709">
      <w:pPr>
        <w:spacing w:after="0"/>
        <w:jc w:val="center"/>
        <w:rPr>
          <w:b/>
          <w:bCs/>
          <w:sz w:val="26"/>
          <w:szCs w:val="26"/>
        </w:rPr>
      </w:pPr>
      <w:proofErr w:type="gramStart"/>
      <w:r w:rsidRPr="000F6F93">
        <w:rPr>
          <w:b/>
          <w:bCs/>
          <w:sz w:val="26"/>
          <w:szCs w:val="26"/>
        </w:rPr>
        <w:t>pour</w:t>
      </w:r>
      <w:proofErr w:type="gramEnd"/>
      <w:r w:rsidRPr="000F6F93">
        <w:rPr>
          <w:b/>
          <w:bCs/>
          <w:sz w:val="26"/>
          <w:szCs w:val="26"/>
        </w:rPr>
        <w:t xml:space="preserve"> </w:t>
      </w:r>
      <w:r w:rsidR="00EE5C0A" w:rsidRPr="002A492A">
        <w:rPr>
          <w:b/>
          <w:bCs/>
          <w:sz w:val="26"/>
          <w:szCs w:val="26"/>
        </w:rPr>
        <w:t>exiger</w:t>
      </w:r>
      <w:r w:rsidRPr="002A492A">
        <w:rPr>
          <w:b/>
          <w:bCs/>
          <w:sz w:val="26"/>
          <w:szCs w:val="26"/>
        </w:rPr>
        <w:t xml:space="preserve"> un </w:t>
      </w:r>
      <w:r w:rsidR="00EE5C0A" w:rsidRPr="002A492A">
        <w:rPr>
          <w:b/>
          <w:bCs/>
          <w:sz w:val="26"/>
          <w:szCs w:val="26"/>
        </w:rPr>
        <w:t>moratoire vis</w:t>
      </w:r>
      <w:r w:rsidR="00EE5C0A">
        <w:rPr>
          <w:b/>
          <w:bCs/>
          <w:sz w:val="26"/>
          <w:szCs w:val="26"/>
        </w:rPr>
        <w:t>-à-vis</w:t>
      </w:r>
      <w:r w:rsidRPr="000F6F93">
        <w:rPr>
          <w:b/>
          <w:bCs/>
          <w:sz w:val="26"/>
          <w:szCs w:val="26"/>
        </w:rPr>
        <w:t xml:space="preserve"> </w:t>
      </w:r>
      <w:r w:rsidR="00EE5C0A">
        <w:rPr>
          <w:b/>
          <w:bCs/>
          <w:sz w:val="26"/>
          <w:szCs w:val="26"/>
        </w:rPr>
        <w:t>de</w:t>
      </w:r>
      <w:r w:rsidRPr="000F6F93">
        <w:rPr>
          <w:b/>
          <w:bCs/>
          <w:sz w:val="26"/>
          <w:szCs w:val="26"/>
        </w:rPr>
        <w:t xml:space="preserve"> cette demande</w:t>
      </w:r>
    </w:p>
    <w:p w14:paraId="177CC86B" w14:textId="77777777" w:rsidR="00275709" w:rsidRPr="008F009A" w:rsidRDefault="00275709" w:rsidP="00265950">
      <w:pPr>
        <w:rPr>
          <w:sz w:val="8"/>
          <w:szCs w:val="8"/>
        </w:rPr>
      </w:pPr>
    </w:p>
    <w:p w14:paraId="6657BA5A" w14:textId="65E9C41B" w:rsidR="002B4FAB" w:rsidRPr="00217E1D" w:rsidRDefault="00BD1085" w:rsidP="003C3A54">
      <w:pPr>
        <w:spacing w:after="0"/>
        <w:rPr>
          <w:sz w:val="24"/>
          <w:szCs w:val="24"/>
        </w:rPr>
      </w:pPr>
      <w:r w:rsidRPr="00217E1D">
        <w:rPr>
          <w:sz w:val="24"/>
          <w:szCs w:val="24"/>
        </w:rPr>
        <w:t>Il m’apparaît important de souligner des problèmes que soulève le dossier présenté dans le cadre de cette enquête publique</w:t>
      </w:r>
      <w:r w:rsidR="002A492A" w:rsidRPr="00217E1D">
        <w:rPr>
          <w:sz w:val="24"/>
          <w:szCs w:val="24"/>
        </w:rPr>
        <w:t> :</w:t>
      </w:r>
    </w:p>
    <w:p w14:paraId="55CA251A" w14:textId="77777777" w:rsidR="008F009A" w:rsidRPr="00217E1D" w:rsidRDefault="008F009A" w:rsidP="003C3A54">
      <w:pPr>
        <w:spacing w:after="0"/>
        <w:rPr>
          <w:sz w:val="24"/>
          <w:szCs w:val="24"/>
        </w:rPr>
      </w:pPr>
    </w:p>
    <w:p w14:paraId="70179CF4" w14:textId="2D5E35B4" w:rsidR="002A492A" w:rsidRPr="00217E1D" w:rsidRDefault="00FE5B74" w:rsidP="00ED5E6F">
      <w:pPr>
        <w:pStyle w:val="Paragraphedeliste"/>
        <w:numPr>
          <w:ilvl w:val="0"/>
          <w:numId w:val="1"/>
        </w:numPr>
        <w:spacing w:after="120"/>
        <w:ind w:left="284" w:firstLine="0"/>
        <w:jc w:val="both"/>
        <w:rPr>
          <w:sz w:val="24"/>
          <w:szCs w:val="24"/>
        </w:rPr>
      </w:pPr>
      <w:r w:rsidRPr="00217E1D">
        <w:rPr>
          <w:b/>
          <w:bCs/>
          <w:sz w:val="24"/>
          <w:szCs w:val="24"/>
          <w:u w:val="single"/>
        </w:rPr>
        <w:t>La priorité de l’eau aux habitants</w:t>
      </w:r>
      <w:r w:rsidR="00BD1085" w:rsidRPr="00217E1D">
        <w:rPr>
          <w:b/>
          <w:bCs/>
          <w:sz w:val="24"/>
          <w:szCs w:val="24"/>
          <w:u w:val="single"/>
        </w:rPr>
        <w:t>, telle que la pose la loi sur l’eau de 2006, est bafouée</w:t>
      </w:r>
    </w:p>
    <w:p w14:paraId="4490E6FD" w14:textId="77777777" w:rsidR="002E1A3B" w:rsidRPr="00217E1D" w:rsidRDefault="00BD1085" w:rsidP="00ED5E6F">
      <w:pPr>
        <w:spacing w:after="120"/>
        <w:jc w:val="both"/>
        <w:rPr>
          <w:sz w:val="24"/>
          <w:szCs w:val="24"/>
        </w:rPr>
      </w:pPr>
      <w:r w:rsidRPr="00217E1D">
        <w:rPr>
          <w:sz w:val="24"/>
          <w:szCs w:val="24"/>
        </w:rPr>
        <w:t>Le schéma d’aménagement et de gestion de l’eau</w:t>
      </w:r>
      <w:r w:rsidR="002E1A3B" w:rsidRPr="00217E1D">
        <w:rPr>
          <w:sz w:val="24"/>
          <w:szCs w:val="24"/>
        </w:rPr>
        <w:t>,</w:t>
      </w:r>
      <w:r w:rsidRPr="00217E1D">
        <w:rPr>
          <w:sz w:val="24"/>
          <w:szCs w:val="24"/>
        </w:rPr>
        <w:t xml:space="preserve"> </w:t>
      </w:r>
      <w:r w:rsidR="002E1A3B" w:rsidRPr="00217E1D">
        <w:rPr>
          <w:sz w:val="24"/>
          <w:szCs w:val="24"/>
        </w:rPr>
        <w:t xml:space="preserve">qui concerne tout le monde dont Nestlé Waters, </w:t>
      </w:r>
      <w:r w:rsidRPr="00217E1D">
        <w:rPr>
          <w:sz w:val="24"/>
          <w:szCs w:val="24"/>
        </w:rPr>
        <w:t>n’est</w:t>
      </w:r>
      <w:r w:rsidR="002E1A3B" w:rsidRPr="00217E1D">
        <w:rPr>
          <w:sz w:val="24"/>
          <w:szCs w:val="24"/>
        </w:rPr>
        <w:t xml:space="preserve"> même</w:t>
      </w:r>
      <w:r w:rsidRPr="00217E1D">
        <w:rPr>
          <w:sz w:val="24"/>
          <w:szCs w:val="24"/>
        </w:rPr>
        <w:t xml:space="preserve"> pas terminé </w:t>
      </w:r>
      <w:r w:rsidR="002E1A3B" w:rsidRPr="00217E1D">
        <w:rPr>
          <w:sz w:val="24"/>
          <w:szCs w:val="24"/>
        </w:rPr>
        <w:t xml:space="preserve">et apparaît une enquête publique pour l’autorisation de forages dans d’autres nappes. </w:t>
      </w:r>
    </w:p>
    <w:p w14:paraId="1F3CF3E8" w14:textId="141899BC" w:rsidR="00BD1085" w:rsidRPr="00217E1D" w:rsidRDefault="002E1A3B" w:rsidP="00ED5E6F">
      <w:pPr>
        <w:spacing w:after="120"/>
        <w:jc w:val="both"/>
        <w:rPr>
          <w:sz w:val="24"/>
          <w:szCs w:val="24"/>
        </w:rPr>
      </w:pPr>
      <w:r w:rsidRPr="00217E1D">
        <w:rPr>
          <w:sz w:val="24"/>
          <w:szCs w:val="24"/>
        </w:rPr>
        <w:t>Tout cela me semble prématuré et/ou se faire dans la précipitation. On risque de retrouver les mêmes problèmes que pour la nappe des GTI. Il faut que les habitants soient clairement informés avant qu’ils puissent se prononcer sereinement.</w:t>
      </w:r>
    </w:p>
    <w:p w14:paraId="199605FF" w14:textId="77777777" w:rsidR="00BD1085" w:rsidRPr="00217E1D" w:rsidRDefault="00BD1085" w:rsidP="00ED5E6F">
      <w:pPr>
        <w:spacing w:after="120"/>
        <w:jc w:val="both"/>
        <w:rPr>
          <w:strike/>
          <w:sz w:val="24"/>
          <w:szCs w:val="24"/>
        </w:rPr>
      </w:pPr>
    </w:p>
    <w:p w14:paraId="3E91C564" w14:textId="28B795F7" w:rsidR="00745DD8" w:rsidRPr="00217E1D" w:rsidRDefault="00811CEC" w:rsidP="00716DA4">
      <w:pPr>
        <w:pStyle w:val="Paragraphedeliste"/>
        <w:numPr>
          <w:ilvl w:val="0"/>
          <w:numId w:val="1"/>
        </w:numPr>
        <w:spacing w:after="120"/>
        <w:jc w:val="both"/>
        <w:rPr>
          <w:sz w:val="24"/>
          <w:szCs w:val="24"/>
          <w:u w:val="single"/>
        </w:rPr>
      </w:pPr>
      <w:r w:rsidRPr="00217E1D">
        <w:rPr>
          <w:b/>
          <w:bCs/>
          <w:sz w:val="24"/>
          <w:szCs w:val="24"/>
          <w:u w:val="single"/>
        </w:rPr>
        <w:t>L’</w:t>
      </w:r>
      <w:r w:rsidR="00745DD8" w:rsidRPr="00217E1D">
        <w:rPr>
          <w:b/>
          <w:bCs/>
          <w:sz w:val="24"/>
          <w:szCs w:val="24"/>
          <w:u w:val="single"/>
        </w:rPr>
        <w:t>augmentation des prélèvements est</w:t>
      </w:r>
      <w:r w:rsidRPr="00217E1D">
        <w:rPr>
          <w:b/>
          <w:bCs/>
          <w:sz w:val="24"/>
          <w:szCs w:val="24"/>
          <w:u w:val="single"/>
        </w:rPr>
        <w:t>-elle proposée en connaissance de cause, surtout en cette période de réchauffement climatique qui n’épargne aucune région ?</w:t>
      </w:r>
    </w:p>
    <w:p w14:paraId="7F234270" w14:textId="2600EF10" w:rsidR="00811CEC" w:rsidRPr="00217E1D" w:rsidRDefault="00811CEC" w:rsidP="00ED5E6F">
      <w:pPr>
        <w:spacing w:after="120"/>
        <w:jc w:val="both"/>
        <w:rPr>
          <w:sz w:val="24"/>
          <w:szCs w:val="24"/>
        </w:rPr>
      </w:pPr>
    </w:p>
    <w:p w14:paraId="6F00FBD6" w14:textId="77777777" w:rsidR="006B2F71" w:rsidRPr="00217E1D" w:rsidRDefault="00811CEC" w:rsidP="00ED5E6F">
      <w:pPr>
        <w:spacing w:after="120"/>
        <w:jc w:val="both"/>
        <w:rPr>
          <w:sz w:val="24"/>
          <w:szCs w:val="24"/>
        </w:rPr>
      </w:pPr>
      <w:r w:rsidRPr="00217E1D">
        <w:rPr>
          <w:sz w:val="24"/>
          <w:szCs w:val="24"/>
        </w:rPr>
        <w:t xml:space="preserve">A ce jour, il y a difficulté, depuis des années, à équilibrer la nappe des GTI et encore plus à la restaurer. </w:t>
      </w:r>
    </w:p>
    <w:p w14:paraId="76480485" w14:textId="77777777" w:rsidR="006B2F71" w:rsidRPr="00217E1D" w:rsidRDefault="00811CEC" w:rsidP="00ED5E6F">
      <w:pPr>
        <w:spacing w:after="120"/>
        <w:jc w:val="both"/>
        <w:rPr>
          <w:sz w:val="24"/>
          <w:szCs w:val="24"/>
        </w:rPr>
      </w:pPr>
      <w:r w:rsidRPr="00217E1D">
        <w:rPr>
          <w:sz w:val="24"/>
          <w:szCs w:val="24"/>
        </w:rPr>
        <w:t>Et, on veut décider</w:t>
      </w:r>
      <w:r w:rsidR="006B2F71" w:rsidRPr="00217E1D">
        <w:rPr>
          <w:sz w:val="24"/>
          <w:szCs w:val="24"/>
        </w:rPr>
        <w:t>, aujourd’hui,</w:t>
      </w:r>
      <w:r w:rsidRPr="00217E1D">
        <w:rPr>
          <w:sz w:val="24"/>
          <w:szCs w:val="24"/>
        </w:rPr>
        <w:t xml:space="preserve"> de multiplier</w:t>
      </w:r>
      <w:r w:rsidR="006B2F71" w:rsidRPr="00217E1D">
        <w:rPr>
          <w:sz w:val="24"/>
          <w:szCs w:val="24"/>
        </w:rPr>
        <w:t xml:space="preserve"> des forages dans une autre nappe</w:t>
      </w:r>
      <w:r w:rsidRPr="00217E1D">
        <w:rPr>
          <w:sz w:val="24"/>
          <w:szCs w:val="24"/>
        </w:rPr>
        <w:t xml:space="preserve"> – et</w:t>
      </w:r>
      <w:r w:rsidR="006B2F71" w:rsidRPr="00217E1D">
        <w:rPr>
          <w:sz w:val="24"/>
          <w:szCs w:val="24"/>
        </w:rPr>
        <w:t>, entre parenthèses,</w:t>
      </w:r>
      <w:r w:rsidRPr="00217E1D">
        <w:rPr>
          <w:sz w:val="24"/>
          <w:szCs w:val="24"/>
        </w:rPr>
        <w:t xml:space="preserve"> en </w:t>
      </w:r>
      <w:r w:rsidR="006B2F71" w:rsidRPr="00217E1D">
        <w:rPr>
          <w:sz w:val="24"/>
          <w:szCs w:val="24"/>
        </w:rPr>
        <w:t>profiter pour</w:t>
      </w:r>
      <w:r w:rsidRPr="00217E1D">
        <w:rPr>
          <w:sz w:val="24"/>
          <w:szCs w:val="24"/>
        </w:rPr>
        <w:t xml:space="preserve"> légaliser des forages qui étaient illégaux</w:t>
      </w:r>
      <w:r w:rsidR="006B2F71" w:rsidRPr="00217E1D">
        <w:rPr>
          <w:sz w:val="24"/>
          <w:szCs w:val="24"/>
        </w:rPr>
        <w:t>.</w:t>
      </w:r>
    </w:p>
    <w:p w14:paraId="0CDFF37C" w14:textId="1F1D7FE5" w:rsidR="00811CEC" w:rsidRPr="00217E1D" w:rsidRDefault="006B2F71" w:rsidP="00ED5E6F">
      <w:pPr>
        <w:spacing w:after="120"/>
        <w:jc w:val="both"/>
        <w:rPr>
          <w:sz w:val="24"/>
          <w:szCs w:val="24"/>
        </w:rPr>
      </w:pPr>
      <w:r w:rsidRPr="00217E1D">
        <w:rPr>
          <w:sz w:val="24"/>
          <w:szCs w:val="24"/>
        </w:rPr>
        <w:t>Je crois que cela manque de sérieux quand on connaît le principe de vase communicant entre les ruisseaux et toutes les nappes phréatiques superposées. Il manque des études sérieuses par des cabinets indépendants afin d’éviter les erreurs du passé.</w:t>
      </w:r>
    </w:p>
    <w:p w14:paraId="5795E85B" w14:textId="2CFFD815" w:rsidR="00253F7B" w:rsidRPr="00217E1D" w:rsidRDefault="00253F7B" w:rsidP="000248E8">
      <w:pPr>
        <w:spacing w:after="120"/>
        <w:ind w:left="284"/>
        <w:contextualSpacing/>
        <w:jc w:val="both"/>
        <w:rPr>
          <w:sz w:val="24"/>
          <w:szCs w:val="24"/>
        </w:rPr>
      </w:pPr>
    </w:p>
    <w:p w14:paraId="52F3B4CD" w14:textId="3517BEB5" w:rsidR="00205F18" w:rsidRPr="00217E1D" w:rsidRDefault="005F67AA" w:rsidP="00205F18">
      <w:pPr>
        <w:pStyle w:val="Paragraphedeliste"/>
        <w:numPr>
          <w:ilvl w:val="0"/>
          <w:numId w:val="1"/>
        </w:numPr>
        <w:spacing w:after="120"/>
        <w:ind w:left="284" w:firstLine="0"/>
        <w:jc w:val="both"/>
        <w:rPr>
          <w:sz w:val="24"/>
          <w:szCs w:val="24"/>
        </w:rPr>
      </w:pPr>
      <w:r w:rsidRPr="00217E1D">
        <w:rPr>
          <w:b/>
          <w:bCs/>
          <w:sz w:val="24"/>
          <w:szCs w:val="24"/>
          <w:u w:val="single"/>
        </w:rPr>
        <w:t>L’autorisation globale des</w:t>
      </w:r>
      <w:r w:rsidR="00205F18" w:rsidRPr="00217E1D">
        <w:rPr>
          <w:b/>
          <w:bCs/>
          <w:sz w:val="24"/>
          <w:szCs w:val="24"/>
          <w:u w:val="single"/>
        </w:rPr>
        <w:t xml:space="preserve"> forages</w:t>
      </w:r>
      <w:r w:rsidRPr="00217E1D">
        <w:rPr>
          <w:b/>
          <w:bCs/>
          <w:sz w:val="24"/>
          <w:szCs w:val="24"/>
          <w:u w:val="single"/>
        </w:rPr>
        <w:t xml:space="preserve"> inclut des forages qui étaient auparavant jugés illégaux</w:t>
      </w:r>
    </w:p>
    <w:p w14:paraId="5E391688" w14:textId="029228DF" w:rsidR="005F67AA" w:rsidRPr="00217E1D" w:rsidRDefault="005F67AA" w:rsidP="000248E8">
      <w:pPr>
        <w:spacing w:after="120"/>
        <w:jc w:val="both"/>
        <w:rPr>
          <w:sz w:val="24"/>
          <w:szCs w:val="24"/>
        </w:rPr>
      </w:pPr>
    </w:p>
    <w:p w14:paraId="2C1332E6" w14:textId="4CC1294B" w:rsidR="006C37D3" w:rsidRPr="00217E1D" w:rsidRDefault="005F67AA" w:rsidP="000248E8">
      <w:pPr>
        <w:spacing w:after="120"/>
        <w:jc w:val="both"/>
        <w:rPr>
          <w:sz w:val="24"/>
          <w:szCs w:val="24"/>
        </w:rPr>
      </w:pPr>
      <w:r w:rsidRPr="00217E1D">
        <w:rPr>
          <w:sz w:val="24"/>
          <w:szCs w:val="24"/>
        </w:rPr>
        <w:t>Comme signalé plus haut (point 2), des forages « frauduleux » deviendraient soudainement légaux.</w:t>
      </w:r>
      <w:r w:rsidR="006C37D3" w:rsidRPr="00217E1D">
        <w:rPr>
          <w:sz w:val="24"/>
          <w:szCs w:val="24"/>
        </w:rPr>
        <w:t xml:space="preserve"> Cela ressemble étrangement à un cavalier glissé dans la discussion et le vote d’une loi. Ce qui, pour le coup, est bien cavalier.</w:t>
      </w:r>
    </w:p>
    <w:p w14:paraId="147CF851" w14:textId="42411802" w:rsidR="006C37D3" w:rsidRPr="00217E1D" w:rsidRDefault="006C37D3" w:rsidP="000248E8">
      <w:pPr>
        <w:spacing w:after="120"/>
        <w:jc w:val="both"/>
        <w:rPr>
          <w:sz w:val="24"/>
          <w:szCs w:val="24"/>
        </w:rPr>
      </w:pPr>
      <w:r w:rsidRPr="00217E1D">
        <w:rPr>
          <w:sz w:val="24"/>
          <w:szCs w:val="24"/>
        </w:rPr>
        <w:t>Cette enquête publique, à cette heure, est prématurée</w:t>
      </w:r>
      <w:r w:rsidR="009A6379" w:rsidRPr="00217E1D">
        <w:rPr>
          <w:sz w:val="24"/>
          <w:szCs w:val="24"/>
        </w:rPr>
        <w:t xml:space="preserve"> car </w:t>
      </w:r>
      <w:r w:rsidR="00513E0B" w:rsidRPr="00217E1D">
        <w:rPr>
          <w:sz w:val="24"/>
          <w:szCs w:val="24"/>
        </w:rPr>
        <w:t>il y a trop de méconnaissances sur les conséquences de cette autorisation de forages.</w:t>
      </w:r>
    </w:p>
    <w:p w14:paraId="5105C322" w14:textId="09A18B5D" w:rsidR="00607AA2" w:rsidRPr="00217E1D" w:rsidRDefault="00513E0B" w:rsidP="000248E8">
      <w:pPr>
        <w:spacing w:after="120"/>
        <w:jc w:val="both"/>
        <w:rPr>
          <w:b/>
          <w:bCs/>
          <w:sz w:val="24"/>
          <w:szCs w:val="24"/>
        </w:rPr>
      </w:pPr>
      <w:r w:rsidRPr="00217E1D">
        <w:rPr>
          <w:b/>
          <w:bCs/>
          <w:sz w:val="24"/>
          <w:szCs w:val="24"/>
        </w:rPr>
        <w:t xml:space="preserve">Par conséquent, </w:t>
      </w:r>
      <w:r w:rsidR="00607AA2" w:rsidRPr="00217E1D">
        <w:rPr>
          <w:b/>
          <w:bCs/>
          <w:sz w:val="24"/>
          <w:szCs w:val="24"/>
        </w:rPr>
        <w:t>ce</w:t>
      </w:r>
      <w:r w:rsidRPr="00217E1D">
        <w:rPr>
          <w:b/>
          <w:bCs/>
          <w:sz w:val="24"/>
          <w:szCs w:val="24"/>
        </w:rPr>
        <w:t>tte demande de forages par Nestlé Waters doit s’arrêter à ce stade. La situation d’aujourd’hui doit être maintenue dans l’état des connaissances hydrologiques</w:t>
      </w:r>
      <w:r w:rsidR="00330F0E" w:rsidRPr="00217E1D">
        <w:rPr>
          <w:b/>
          <w:bCs/>
          <w:sz w:val="24"/>
          <w:szCs w:val="24"/>
        </w:rPr>
        <w:t xml:space="preserve"> actuelles</w:t>
      </w:r>
      <w:r w:rsidRPr="00217E1D">
        <w:rPr>
          <w:b/>
          <w:bCs/>
          <w:sz w:val="24"/>
          <w:szCs w:val="24"/>
        </w:rPr>
        <w:t>. Seules de</w:t>
      </w:r>
      <w:r w:rsidR="00330F0E" w:rsidRPr="00217E1D">
        <w:rPr>
          <w:b/>
          <w:bCs/>
          <w:sz w:val="24"/>
          <w:szCs w:val="24"/>
        </w:rPr>
        <w:t xml:space="preserve"> nouvelles études autoriseront, peut-être, la réouverture de ce dossier.</w:t>
      </w:r>
    </w:p>
    <w:p w14:paraId="6ACB7335" w14:textId="06C51879" w:rsidR="00C14EC1" w:rsidRPr="00217E1D" w:rsidRDefault="00C14EC1" w:rsidP="000248E8">
      <w:pPr>
        <w:spacing w:after="120"/>
        <w:jc w:val="both"/>
        <w:rPr>
          <w:b/>
          <w:bCs/>
          <w:strike/>
          <w:sz w:val="24"/>
          <w:szCs w:val="24"/>
          <w:u w:val="single"/>
        </w:rPr>
      </w:pPr>
    </w:p>
    <w:sectPr w:rsidR="00C14EC1" w:rsidRPr="00217E1D" w:rsidSect="008B1C87">
      <w:headerReference w:type="default" r:id="rId7"/>
      <w:pgSz w:w="11906" w:h="16838" w:code="9"/>
      <w:pgMar w:top="340" w:right="851" w:bottom="45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5E85" w14:textId="77777777" w:rsidR="00475D96" w:rsidRDefault="00475D96" w:rsidP="008B1C87">
      <w:pPr>
        <w:spacing w:after="0" w:line="240" w:lineRule="auto"/>
      </w:pPr>
      <w:r>
        <w:separator/>
      </w:r>
    </w:p>
  </w:endnote>
  <w:endnote w:type="continuationSeparator" w:id="0">
    <w:p w14:paraId="632C0F33" w14:textId="77777777" w:rsidR="00475D96" w:rsidRDefault="00475D96" w:rsidP="008B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6275" w14:textId="77777777" w:rsidR="00475D96" w:rsidRDefault="00475D96" w:rsidP="008B1C87">
      <w:pPr>
        <w:spacing w:after="0" w:line="240" w:lineRule="auto"/>
      </w:pPr>
      <w:r>
        <w:separator/>
      </w:r>
    </w:p>
  </w:footnote>
  <w:footnote w:type="continuationSeparator" w:id="0">
    <w:p w14:paraId="7CF2BD3B" w14:textId="77777777" w:rsidR="00475D96" w:rsidRDefault="00475D96" w:rsidP="008B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5E12" w14:textId="126C9F02" w:rsidR="008B1C87" w:rsidRPr="008B1C87" w:rsidRDefault="008B1C87" w:rsidP="008B1C87">
    <w:pPr>
      <w:jc w:val="center"/>
      <w:rPr>
        <w:b/>
        <w:bCs/>
        <w:sz w:val="30"/>
        <w:szCs w:val="30"/>
      </w:rPr>
    </w:pPr>
    <w:r w:rsidRPr="000F6F93">
      <w:rPr>
        <w:b/>
        <w:bCs/>
        <w:sz w:val="30"/>
        <w:szCs w:val="30"/>
      </w:rPr>
      <w:t>Enquête publique sur la demande de Nestlé Waters Supply Est</w:t>
    </w:r>
  </w:p>
  <w:p w14:paraId="2E0A5E51" w14:textId="77777777" w:rsidR="008B1C87" w:rsidRDefault="008B1C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2463C"/>
    <w:multiLevelType w:val="hybridMultilevel"/>
    <w:tmpl w:val="548ABF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A33D1A"/>
    <w:multiLevelType w:val="hybridMultilevel"/>
    <w:tmpl w:val="548ABFA2"/>
    <w:lvl w:ilvl="0" w:tplc="A502D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5029741">
    <w:abstractNumId w:val="1"/>
  </w:num>
  <w:num w:numId="2" w16cid:durableId="84694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0"/>
    <w:rsid w:val="00003725"/>
    <w:rsid w:val="000248E8"/>
    <w:rsid w:val="00077544"/>
    <w:rsid w:val="00095D9E"/>
    <w:rsid w:val="000A2224"/>
    <w:rsid w:val="000A248B"/>
    <w:rsid w:val="000A357E"/>
    <w:rsid w:val="000F6F93"/>
    <w:rsid w:val="00130E09"/>
    <w:rsid w:val="00164939"/>
    <w:rsid w:val="001A7D71"/>
    <w:rsid w:val="001B1E81"/>
    <w:rsid w:val="00202D02"/>
    <w:rsid w:val="00205F18"/>
    <w:rsid w:val="00217E1D"/>
    <w:rsid w:val="0022165C"/>
    <w:rsid w:val="00253F7B"/>
    <w:rsid w:val="00265950"/>
    <w:rsid w:val="00275709"/>
    <w:rsid w:val="002A492A"/>
    <w:rsid w:val="002B4FAB"/>
    <w:rsid w:val="002E1A3B"/>
    <w:rsid w:val="00305C10"/>
    <w:rsid w:val="00330F0E"/>
    <w:rsid w:val="0033474C"/>
    <w:rsid w:val="00343420"/>
    <w:rsid w:val="00345732"/>
    <w:rsid w:val="00350655"/>
    <w:rsid w:val="00381872"/>
    <w:rsid w:val="00382BBC"/>
    <w:rsid w:val="00384C8A"/>
    <w:rsid w:val="003C3A54"/>
    <w:rsid w:val="003D6CB1"/>
    <w:rsid w:val="004016A3"/>
    <w:rsid w:val="00475D96"/>
    <w:rsid w:val="00480101"/>
    <w:rsid w:val="00513E0B"/>
    <w:rsid w:val="00551364"/>
    <w:rsid w:val="00555F78"/>
    <w:rsid w:val="005B174A"/>
    <w:rsid w:val="005B2284"/>
    <w:rsid w:val="005C4D4B"/>
    <w:rsid w:val="005C7BB0"/>
    <w:rsid w:val="005F67AA"/>
    <w:rsid w:val="00607AA2"/>
    <w:rsid w:val="006828C1"/>
    <w:rsid w:val="00694F55"/>
    <w:rsid w:val="00695CD8"/>
    <w:rsid w:val="006B2F71"/>
    <w:rsid w:val="006C37D3"/>
    <w:rsid w:val="00716DA4"/>
    <w:rsid w:val="007345EA"/>
    <w:rsid w:val="00745DD8"/>
    <w:rsid w:val="0076083B"/>
    <w:rsid w:val="00811CEC"/>
    <w:rsid w:val="00822890"/>
    <w:rsid w:val="008339A1"/>
    <w:rsid w:val="00844E4A"/>
    <w:rsid w:val="00854386"/>
    <w:rsid w:val="00867A87"/>
    <w:rsid w:val="00871ABD"/>
    <w:rsid w:val="008B1C87"/>
    <w:rsid w:val="008F009A"/>
    <w:rsid w:val="009042C4"/>
    <w:rsid w:val="00920EAB"/>
    <w:rsid w:val="00927189"/>
    <w:rsid w:val="00937ACD"/>
    <w:rsid w:val="00945D7D"/>
    <w:rsid w:val="009A6379"/>
    <w:rsid w:val="009B2F86"/>
    <w:rsid w:val="00A12B96"/>
    <w:rsid w:val="00A15A3C"/>
    <w:rsid w:val="00A36BCA"/>
    <w:rsid w:val="00A5570B"/>
    <w:rsid w:val="00A90ED3"/>
    <w:rsid w:val="00AB159B"/>
    <w:rsid w:val="00AC536F"/>
    <w:rsid w:val="00B829BC"/>
    <w:rsid w:val="00BA6C82"/>
    <w:rsid w:val="00BB5802"/>
    <w:rsid w:val="00BC780F"/>
    <w:rsid w:val="00BD1085"/>
    <w:rsid w:val="00BE2192"/>
    <w:rsid w:val="00C14EC1"/>
    <w:rsid w:val="00C529FA"/>
    <w:rsid w:val="00C65CAC"/>
    <w:rsid w:val="00C749FD"/>
    <w:rsid w:val="00C93C9A"/>
    <w:rsid w:val="00CE3982"/>
    <w:rsid w:val="00CF298F"/>
    <w:rsid w:val="00D16BD9"/>
    <w:rsid w:val="00D27DD8"/>
    <w:rsid w:val="00D31050"/>
    <w:rsid w:val="00D4768A"/>
    <w:rsid w:val="00D50FFA"/>
    <w:rsid w:val="00D547C2"/>
    <w:rsid w:val="00D637A2"/>
    <w:rsid w:val="00DA0D4E"/>
    <w:rsid w:val="00DA280B"/>
    <w:rsid w:val="00DB2F39"/>
    <w:rsid w:val="00E038DE"/>
    <w:rsid w:val="00E44429"/>
    <w:rsid w:val="00ED5E6F"/>
    <w:rsid w:val="00EE5C0A"/>
    <w:rsid w:val="00FA4F87"/>
    <w:rsid w:val="00FE5B74"/>
    <w:rsid w:val="00FF0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9F02"/>
  <w15:chartTrackingRefBased/>
  <w15:docId w15:val="{E7C87736-23AC-485C-81E7-6C36C3BD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5950"/>
    <w:pPr>
      <w:ind w:left="720"/>
      <w:contextualSpacing/>
    </w:pPr>
  </w:style>
  <w:style w:type="paragraph" w:styleId="En-tte">
    <w:name w:val="header"/>
    <w:basedOn w:val="Normal"/>
    <w:link w:val="En-tteCar"/>
    <w:uiPriority w:val="99"/>
    <w:unhideWhenUsed/>
    <w:rsid w:val="008B1C87"/>
    <w:pPr>
      <w:tabs>
        <w:tab w:val="center" w:pos="4536"/>
        <w:tab w:val="right" w:pos="9072"/>
      </w:tabs>
      <w:spacing w:after="0" w:line="240" w:lineRule="auto"/>
    </w:pPr>
  </w:style>
  <w:style w:type="character" w:customStyle="1" w:styleId="En-tteCar">
    <w:name w:val="En-tête Car"/>
    <w:basedOn w:val="Policepardfaut"/>
    <w:link w:val="En-tte"/>
    <w:uiPriority w:val="99"/>
    <w:rsid w:val="008B1C87"/>
  </w:style>
  <w:style w:type="paragraph" w:styleId="Pieddepage">
    <w:name w:val="footer"/>
    <w:basedOn w:val="Normal"/>
    <w:link w:val="PieddepageCar"/>
    <w:uiPriority w:val="99"/>
    <w:unhideWhenUsed/>
    <w:rsid w:val="008B1C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SCHMITT</dc:creator>
  <cp:keywords/>
  <dc:description/>
  <cp:lastModifiedBy>Bernard SCHMITT</cp:lastModifiedBy>
  <cp:revision>2</cp:revision>
  <dcterms:created xsi:type="dcterms:W3CDTF">2022-04-13T11:06:00Z</dcterms:created>
  <dcterms:modified xsi:type="dcterms:W3CDTF">2022-04-13T11:06:00Z</dcterms:modified>
</cp:coreProperties>
</file>